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60488" w14:textId="4D4A5560" w:rsidR="00FA60DD" w:rsidRDefault="00FD0E1B">
      <w:pPr>
        <w:rPr>
          <w:noProof/>
        </w:rPr>
      </w:pPr>
      <w:r>
        <w:rPr>
          <w:noProof/>
          <w:lang w:eastAsia="ru-RU"/>
        </w:rPr>
        <w:drawing>
          <wp:inline distT="0" distB="0" distL="0" distR="0" wp14:anchorId="2391D6D5" wp14:editId="4AC800C1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37BA1686" w14:textId="78FED390" w:rsidR="00DA6522" w:rsidRPr="00DA6522" w:rsidRDefault="00DA6522" w:rsidP="00DA6522"/>
    <w:p w14:paraId="3F4D4E8C" w14:textId="20AE06D9" w:rsidR="00DA6522" w:rsidRPr="00904D6E" w:rsidRDefault="00904D6E" w:rsidP="00DA6522">
      <w:pPr>
        <w:tabs>
          <w:tab w:val="left" w:pos="5616"/>
        </w:tabs>
        <w:rPr>
          <w:rFonts w:ascii="Times New Roman" w:hAnsi="Times New Roman" w:cs="Times New Roman"/>
          <w:noProof/>
          <w:sz w:val="28"/>
          <w:szCs w:val="28"/>
        </w:rPr>
      </w:pPr>
      <w:r w:rsidRPr="00904D6E">
        <w:rPr>
          <w:rFonts w:ascii="Times New Roman" w:hAnsi="Times New Roman" w:cs="Times New Roman"/>
          <w:noProof/>
          <w:sz w:val="28"/>
          <w:szCs w:val="28"/>
        </w:rPr>
        <w:t>Рисунок 3</w:t>
      </w:r>
      <w:r>
        <w:rPr>
          <w:rFonts w:ascii="Times New Roman" w:hAnsi="Times New Roman" w:cs="Times New Roman"/>
          <w:noProof/>
          <w:sz w:val="28"/>
          <w:szCs w:val="28"/>
        </w:rPr>
        <w:t>. Уровень реактивности парасимпатического отдела ВНС</w:t>
      </w:r>
    </w:p>
    <w:p w14:paraId="640757C4" w14:textId="08BEEFB2" w:rsidR="00DA6522" w:rsidRDefault="00DA6522" w:rsidP="00DA6522">
      <w:pPr>
        <w:tabs>
          <w:tab w:val="left" w:pos="5616"/>
        </w:tabs>
        <w:rPr>
          <w:noProof/>
        </w:rPr>
      </w:pPr>
    </w:p>
    <w:p w14:paraId="1FFE2BF3" w14:textId="17511D28" w:rsidR="00DA6522" w:rsidRDefault="00904D6E" w:rsidP="00DA6522">
      <w:pPr>
        <w:tabs>
          <w:tab w:val="left" w:pos="5616"/>
        </w:tabs>
        <w:rPr>
          <w:noProof/>
        </w:rPr>
      </w:pPr>
      <w:r>
        <w:rPr>
          <w:noProof/>
          <w:lang w:eastAsia="ru-RU"/>
        </w:rPr>
        <w:drawing>
          <wp:inline distT="0" distB="0" distL="0" distR="0" wp14:anchorId="1DD858D5" wp14:editId="5C4B4AB6">
            <wp:extent cx="5486400" cy="3200400"/>
            <wp:effectExtent l="0" t="0" r="19050" b="190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39C1432" w14:textId="77777777" w:rsidR="00DA6522" w:rsidRDefault="00DA6522" w:rsidP="00DA6522">
      <w:pPr>
        <w:tabs>
          <w:tab w:val="left" w:pos="5616"/>
        </w:tabs>
      </w:pPr>
    </w:p>
    <w:p w14:paraId="7364DB15" w14:textId="64BD2378" w:rsidR="00DA6522" w:rsidRDefault="00904D6E">
      <w:r w:rsidRPr="00904D6E">
        <w:rPr>
          <w:rFonts w:ascii="Times New Roman" w:hAnsi="Times New Roman" w:cs="Times New Roman"/>
          <w:sz w:val="28"/>
          <w:szCs w:val="28"/>
        </w:rPr>
        <w:t>Рисунок 4. Преобладание тону</w:t>
      </w:r>
      <w:r>
        <w:rPr>
          <w:rFonts w:ascii="Times New Roman" w:hAnsi="Times New Roman" w:cs="Times New Roman"/>
          <w:sz w:val="28"/>
          <w:szCs w:val="28"/>
        </w:rPr>
        <w:t xml:space="preserve">са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симпатической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нервной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</w:t>
      </w:r>
      <w:proofErr w:type="spellEnd"/>
    </w:p>
    <w:p w14:paraId="0F274F7E" w14:textId="72213DFB" w:rsidR="00DA6522" w:rsidRDefault="00DA6522"/>
    <w:p w14:paraId="0053C2A5" w14:textId="285EDC2E" w:rsidR="00DA6522" w:rsidRDefault="00DA6522"/>
    <w:p w14:paraId="1D2609D5" w14:textId="5753EE91" w:rsidR="00DA6522" w:rsidRDefault="00DA6522"/>
    <w:p w14:paraId="49F427BD" w14:textId="36A54930" w:rsidR="00DA6522" w:rsidRDefault="00DA6522"/>
    <w:p w14:paraId="7DF593DF" w14:textId="5136BF42" w:rsidR="00DA6522" w:rsidRDefault="00DA6522"/>
    <w:p w14:paraId="3C541A86" w14:textId="018A4E77" w:rsidR="00DA6522" w:rsidRDefault="00DA6522"/>
    <w:p w14:paraId="31F0DF28" w14:textId="00ADD6A8" w:rsidR="00DA6522" w:rsidRDefault="00DA6522"/>
    <w:p w14:paraId="281090D6" w14:textId="1E911A81" w:rsidR="00DA6522" w:rsidRDefault="00DA6522"/>
    <w:p w14:paraId="3FB28966" w14:textId="3F4DF348" w:rsidR="00DA6522" w:rsidRDefault="00DA6522"/>
    <w:p w14:paraId="2C7AFA35" w14:textId="77777777" w:rsidR="00DA6522" w:rsidRDefault="00DA6522"/>
    <w:p w14:paraId="77FA8068" w14:textId="2B3EE882" w:rsidR="00DA6522" w:rsidRPr="00DA6522" w:rsidRDefault="00DA6522" w:rsidP="00023175">
      <w:pPr>
        <w:tabs>
          <w:tab w:val="left" w:pos="5616"/>
        </w:tabs>
      </w:pPr>
      <w:r>
        <w:rPr>
          <w:noProof/>
          <w:lang w:eastAsia="ru-RU"/>
        </w:rPr>
        <w:drawing>
          <wp:inline distT="0" distB="0" distL="0" distR="0" wp14:anchorId="57A51034" wp14:editId="033297AA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Start w:id="0" w:name="_GoBack"/>
      <w:bookmarkEnd w:id="0"/>
    </w:p>
    <w:p w14:paraId="55154AFC" w14:textId="2CEA8D19" w:rsidR="00DA6522" w:rsidRDefault="00DA6522" w:rsidP="00DA6522"/>
    <w:p w14:paraId="3D33D2F8" w14:textId="7DB84D43" w:rsidR="00DA6522" w:rsidRPr="00904D6E" w:rsidRDefault="00904D6E" w:rsidP="00DA6522">
      <w:pPr>
        <w:tabs>
          <w:tab w:val="left" w:pos="3468"/>
        </w:tabs>
        <w:rPr>
          <w:rFonts w:ascii="Times New Roman" w:hAnsi="Times New Roman" w:cs="Times New Roman"/>
          <w:sz w:val="28"/>
          <w:szCs w:val="28"/>
        </w:rPr>
      </w:pPr>
      <w:r w:rsidRPr="00904D6E">
        <w:rPr>
          <w:rFonts w:ascii="Times New Roman" w:hAnsi="Times New Roman" w:cs="Times New Roman"/>
          <w:sz w:val="28"/>
          <w:szCs w:val="28"/>
        </w:rPr>
        <w:t xml:space="preserve">Рисунок 5. </w:t>
      </w:r>
      <w:r>
        <w:rPr>
          <w:rFonts w:ascii="Times New Roman" w:hAnsi="Times New Roman" w:cs="Times New Roman"/>
          <w:sz w:val="28"/>
          <w:szCs w:val="28"/>
        </w:rPr>
        <w:t>Повышение</w:t>
      </w:r>
      <w:r w:rsidRPr="00904D6E">
        <w:rPr>
          <w:rFonts w:ascii="Times New Roman" w:hAnsi="Times New Roman" w:cs="Times New Roman"/>
          <w:sz w:val="28"/>
          <w:szCs w:val="28"/>
        </w:rPr>
        <w:t xml:space="preserve"> тонуса парасимпатического отдела ВНС</w:t>
      </w:r>
    </w:p>
    <w:p w14:paraId="7AF7D282" w14:textId="7DDBA3BD" w:rsidR="00DA6522" w:rsidRDefault="00DA6522" w:rsidP="00DA6522">
      <w:pPr>
        <w:tabs>
          <w:tab w:val="left" w:pos="3468"/>
        </w:tabs>
      </w:pPr>
    </w:p>
    <w:p w14:paraId="47C54615" w14:textId="15780A72" w:rsidR="00023175" w:rsidRDefault="00023175" w:rsidP="00904D6E"/>
    <w:p w14:paraId="09A7D744" w14:textId="06FA1390" w:rsidR="00023175" w:rsidRDefault="00023175" w:rsidP="00023175">
      <w:pPr>
        <w:tabs>
          <w:tab w:val="left" w:pos="7080"/>
        </w:tabs>
      </w:pPr>
    </w:p>
    <w:p w14:paraId="42CD3635" w14:textId="767D3E04" w:rsidR="00023175" w:rsidRDefault="00023175" w:rsidP="00023175">
      <w:pPr>
        <w:tabs>
          <w:tab w:val="left" w:pos="7080"/>
        </w:tabs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 wp14:anchorId="3FBDF99F" wp14:editId="2E18C8EA">
            <wp:extent cx="5486400" cy="32004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DDFFE29" w14:textId="3A7404EB" w:rsidR="00023175" w:rsidRDefault="00904D6E" w:rsidP="00023175">
      <w:pPr>
        <w:rPr>
          <w:rFonts w:ascii="Times New Roman" w:hAnsi="Times New Roman" w:cs="Times New Roman"/>
          <w:noProof/>
          <w:sz w:val="28"/>
          <w:szCs w:val="28"/>
        </w:rPr>
      </w:pPr>
      <w:r w:rsidRPr="00904D6E">
        <w:rPr>
          <w:rFonts w:ascii="Times New Roman" w:hAnsi="Times New Roman" w:cs="Times New Roman"/>
          <w:noProof/>
          <w:sz w:val="28"/>
          <w:szCs w:val="28"/>
        </w:rPr>
        <w:t>Рисунок 1</w:t>
      </w:r>
      <w:r>
        <w:rPr>
          <w:rFonts w:ascii="Times New Roman" w:hAnsi="Times New Roman" w:cs="Times New Roman"/>
          <w:noProof/>
          <w:sz w:val="28"/>
          <w:szCs w:val="28"/>
        </w:rPr>
        <w:t>. Преобладание тонуса ВНС</w:t>
      </w:r>
    </w:p>
    <w:p w14:paraId="3361838A" w14:textId="77777777" w:rsidR="00904D6E" w:rsidRDefault="00904D6E" w:rsidP="00023175">
      <w:pPr>
        <w:rPr>
          <w:rFonts w:ascii="Times New Roman" w:hAnsi="Times New Roman" w:cs="Times New Roman"/>
          <w:noProof/>
          <w:sz w:val="28"/>
          <w:szCs w:val="28"/>
        </w:rPr>
      </w:pPr>
    </w:p>
    <w:p w14:paraId="3F001468" w14:textId="77777777" w:rsidR="00904D6E" w:rsidRDefault="00904D6E" w:rsidP="00023175">
      <w:pPr>
        <w:rPr>
          <w:rFonts w:ascii="Times New Roman" w:hAnsi="Times New Roman" w:cs="Times New Roman"/>
          <w:noProof/>
          <w:sz w:val="28"/>
          <w:szCs w:val="28"/>
        </w:rPr>
      </w:pPr>
    </w:p>
    <w:p w14:paraId="011BBA5E" w14:textId="2AFB5952" w:rsidR="00904D6E" w:rsidRDefault="00904D6E" w:rsidP="0002317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EDBDFDE" wp14:editId="73F8C834">
            <wp:extent cx="5486400" cy="32004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79E5F62" w14:textId="5B77CABC" w:rsidR="00904D6E" w:rsidRPr="00904D6E" w:rsidRDefault="00904D6E" w:rsidP="00904D6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 Уровни реактивности симпатического отдела ВНС</w:t>
      </w:r>
    </w:p>
    <w:sectPr w:rsidR="00904D6E" w:rsidRPr="00904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C0A"/>
    <w:rsid w:val="00023175"/>
    <w:rsid w:val="00132D61"/>
    <w:rsid w:val="007F6D4D"/>
    <w:rsid w:val="00904D6E"/>
    <w:rsid w:val="00B82C0A"/>
    <w:rsid w:val="00DA6522"/>
    <w:rsid w:val="00FA60DD"/>
    <w:rsid w:val="00FD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BE0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D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D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Повышение тонуса парасимпатического отдела вегетативной нервной системы</c:v>
                </c:pt>
              </c:strCache>
            </c:strRef>
          </c:tx>
          <c:dPt>
            <c:idx val="0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0AC-4BDC-9787-A469477D568C}"/>
              </c:ext>
            </c:extLst>
          </c:dPt>
          <c:dPt>
            <c:idx val="1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0AC-4BDC-9787-A469477D568C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60AC-4BDC-9787-A469477D568C}"/>
              </c:ext>
            </c:extLst>
          </c:dPt>
          <c:dPt>
            <c:idx val="3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60AC-4BDC-9787-A469477D568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B9B-465A-989E-FBBC591CF46A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Преобладание тонуса симпатической нервной системы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shade val="58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898-405B-B677-45ACE2537D57}"/>
              </c:ext>
            </c:extLst>
          </c:dPt>
          <c:dPt>
            <c:idx val="1"/>
            <c:bubble3D val="0"/>
            <c:spPr>
              <a:solidFill>
                <a:schemeClr val="accent1">
                  <a:shade val="86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0898-405B-B677-45ACE2537D57}"/>
              </c:ext>
            </c:extLst>
          </c:dPt>
          <c:dPt>
            <c:idx val="2"/>
            <c:bubble3D val="0"/>
            <c:spPr>
              <a:solidFill>
                <a:schemeClr val="accent1">
                  <a:tint val="86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0898-405B-B677-45ACE2537D57}"/>
              </c:ext>
            </c:extLst>
          </c:dPt>
          <c:dPt>
            <c:idx val="3"/>
            <c:bubble3D val="0"/>
            <c:spPr>
              <a:solidFill>
                <a:schemeClr val="accent1">
                  <a:tint val="58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0898-405B-B677-45ACE2537D57}"/>
              </c:ext>
            </c:extLst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9C0-4A6C-9577-BAB7C1198024}"/>
            </c:ext>
          </c:extLst>
        </c:ser>
        <c:dLbls>
          <c:dLblPos val="bestFit"/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Преобладание тонуса симпатической нервной системы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125-4242-9F65-98F6657E0982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125-4242-9F65-98F6657E0982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125-4242-9F65-98F6657E0982}"/>
              </c:ext>
            </c:extLst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2125-4242-9F65-98F6657E0982}"/>
              </c:ext>
            </c:extLst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0EF-4FC3-9E93-50411683A35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 baseline="0">
              <a:solidFill>
                <a:schemeClr val="tx1"/>
              </a:solidFill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rich>
      </c:tx>
      <c:layout>
        <c:manualLayout>
          <c:xMode val="edge"/>
          <c:yMode val="edge"/>
          <c:x val="0.2880034266550015"/>
          <c:y val="5.555555555555555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EA7-4491-8359-30F878FA499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EA7-4491-8359-30F878FA499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Преодладание парасимпатического тонуса(ваготонии) ВНС</c:v>
                </c:pt>
                <c:pt idx="1">
                  <c:v>Преобладание симпатического тонуса ВНС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45</c:v>
                </c:pt>
                <c:pt idx="1">
                  <c:v>55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BF6-4033-8466-448A5A6ACC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 baseline="0"/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99F-4CAC-863D-CED956CECF4B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99F-4CAC-863D-CED956CECF4B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199F-4CAC-863D-CED956CECF4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Повышенная реактивность симпатического отдела</c:v>
                </c:pt>
                <c:pt idx="1">
                  <c:v>Пониженная реактивность симпатического отдела</c:v>
                </c:pt>
                <c:pt idx="2">
                  <c:v>Физиологическая норма реактивности симпатического отдела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</c:v>
                </c:pt>
                <c:pt idx="1">
                  <c:v>11</c:v>
                </c:pt>
                <c:pt idx="2">
                  <c:v>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EF5-4F3F-AE3C-408CE86BEB30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ТочкаРоста1</dc:creator>
  <cp:keywords/>
  <dc:description/>
  <cp:lastModifiedBy>Людмила</cp:lastModifiedBy>
  <cp:revision>5</cp:revision>
  <dcterms:created xsi:type="dcterms:W3CDTF">2025-03-10T02:25:00Z</dcterms:created>
  <dcterms:modified xsi:type="dcterms:W3CDTF">2025-03-10T09:56:00Z</dcterms:modified>
</cp:coreProperties>
</file>